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line="520" w:lineRule="exact"/>
        <w:jc w:val="center"/>
        <w:rPr>
          <w:rFonts w:ascii="宋体" w:hAnsi="宋体" w:eastAsia="宋体" w:cs="宋体"/>
          <w:b/>
          <w:color w:val="auto"/>
          <w:kern w:val="0"/>
          <w:sz w:val="44"/>
          <w:szCs w:val="44"/>
        </w:rPr>
      </w:pPr>
      <w:bookmarkStart w:id="0" w:name="_GoBack"/>
      <w:bookmarkEnd w:id="0"/>
      <w:r>
        <w:rPr>
          <w:rFonts w:hint="eastAsia" w:ascii="宋体" w:hAnsi="宋体" w:eastAsia="宋体" w:cs="宋体"/>
          <w:b/>
          <w:color w:val="auto"/>
          <w:kern w:val="0"/>
          <w:sz w:val="44"/>
          <w:szCs w:val="44"/>
        </w:rPr>
        <w:t>鞍山师范学院招标代理机构管理暂行办法</w:t>
      </w:r>
    </w:p>
    <w:p>
      <w:pPr>
        <w:widowControl/>
        <w:spacing w:before="100" w:beforeAutospacing="1" w:after="100" w:afterAutospacing="1" w:line="520" w:lineRule="exact"/>
        <w:jc w:val="center"/>
        <w:rPr>
          <w:rFonts w:ascii="宋体" w:hAnsi="宋体" w:eastAsia="宋体" w:cs="宋体"/>
          <w:b/>
          <w:bCs/>
          <w:color w:val="auto"/>
          <w:kern w:val="0"/>
          <w:sz w:val="32"/>
          <w:szCs w:val="32"/>
        </w:rPr>
      </w:pPr>
      <w:r>
        <w:rPr>
          <w:rFonts w:hint="eastAsia" w:ascii="宋体" w:hAnsi="宋体" w:eastAsia="宋体" w:cs="宋体"/>
          <w:b/>
          <w:bCs/>
          <w:color w:val="auto"/>
          <w:kern w:val="0"/>
          <w:sz w:val="32"/>
          <w:szCs w:val="32"/>
        </w:rPr>
        <w:t>第一章 总  则</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b/>
          <w:bCs/>
          <w:color w:val="auto"/>
          <w:sz w:val="32"/>
          <w:szCs w:val="32"/>
        </w:rPr>
        <w:t>第一条</w:t>
      </w:r>
      <w:r>
        <w:rPr>
          <w:rFonts w:hint="eastAsia" w:ascii="仿宋" w:hAnsi="仿宋" w:eastAsia="仿宋" w:cs="仿宋"/>
          <w:color w:val="auto"/>
          <w:sz w:val="32"/>
          <w:szCs w:val="32"/>
        </w:rPr>
        <w:t xml:space="preserve"> 为规范学校采购项目的招标代理工作，维护学校合法权益，依据《中华人民共和国招标投标法》、《中华人民共和国政府采购法》、《中华人民共和国政府采购法实施条例》、《政府采购代理机构管理暂行办法》及省市政府采购相关法律法规条例，结合学校实际情况，特制定本办法。</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b/>
          <w:bCs/>
          <w:color w:val="auto"/>
          <w:sz w:val="32"/>
          <w:szCs w:val="32"/>
        </w:rPr>
        <w:t>第二条</w:t>
      </w:r>
      <w:r>
        <w:rPr>
          <w:rFonts w:hint="eastAsia" w:ascii="仿宋" w:hAnsi="仿宋" w:eastAsia="仿宋" w:cs="仿宋"/>
          <w:color w:val="auto"/>
          <w:sz w:val="32"/>
          <w:szCs w:val="32"/>
        </w:rPr>
        <w:t xml:space="preserve"> 选择招标代理机构的目的是协助采购人规范高效开展采购活动，在采购需求和采购实施计划编制、组织采购活动等环节提供专业化的服务。</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b/>
          <w:bCs/>
          <w:color w:val="auto"/>
          <w:sz w:val="32"/>
          <w:szCs w:val="32"/>
        </w:rPr>
        <w:t>第三条</w:t>
      </w:r>
      <w:r>
        <w:rPr>
          <w:rFonts w:hint="eastAsia" w:ascii="仿宋" w:hAnsi="仿宋" w:eastAsia="仿宋" w:cs="仿宋"/>
          <w:color w:val="auto"/>
          <w:sz w:val="32"/>
          <w:szCs w:val="32"/>
        </w:rPr>
        <w:t xml:space="preserve"> 本办法所称招标代理机构（以下简称代理机构）,是指集中采购机构以外，依法设立、接受学校委托、从事采购代理业务并提供相关服务的社会中介机构。</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b/>
          <w:bCs/>
          <w:color w:val="auto"/>
          <w:sz w:val="32"/>
          <w:szCs w:val="32"/>
        </w:rPr>
        <w:t xml:space="preserve">第四条 </w:t>
      </w:r>
      <w:r>
        <w:rPr>
          <w:rFonts w:hint="eastAsia" w:ascii="仿宋" w:hAnsi="仿宋" w:eastAsia="仿宋" w:cs="仿宋"/>
          <w:color w:val="auto"/>
          <w:sz w:val="32"/>
          <w:szCs w:val="32"/>
        </w:rPr>
        <w:t>招标采购中心（以下简称采购中心）在学校招标采购领导小组的领导下，归口管理政府集中采购、分散采购及自行采购项目的代理委托工作，负责代理机构的选取、委托及考核等事项。</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b/>
          <w:bCs/>
          <w:color w:val="auto"/>
          <w:sz w:val="32"/>
          <w:szCs w:val="32"/>
        </w:rPr>
        <w:t>第五条</w:t>
      </w:r>
      <w:r>
        <w:rPr>
          <w:rFonts w:hint="eastAsia" w:ascii="仿宋" w:hAnsi="仿宋" w:eastAsia="仿宋" w:cs="仿宋"/>
          <w:color w:val="auto"/>
          <w:sz w:val="32"/>
          <w:szCs w:val="32"/>
        </w:rPr>
        <w:t xml:space="preserve"> 代理机构的选取时间按采购项目实际需求提前选取。</w:t>
      </w:r>
    </w:p>
    <w:p>
      <w:pPr>
        <w:widowControl/>
        <w:spacing w:before="100" w:beforeAutospacing="1" w:after="100" w:afterAutospacing="1" w:line="520" w:lineRule="exact"/>
        <w:jc w:val="center"/>
        <w:rPr>
          <w:rFonts w:hint="eastAsia" w:ascii="宋体" w:hAnsi="宋体" w:eastAsia="宋体" w:cs="宋体"/>
          <w:b/>
          <w:bCs/>
          <w:color w:val="auto"/>
          <w:kern w:val="0"/>
          <w:sz w:val="32"/>
          <w:szCs w:val="32"/>
        </w:rPr>
      </w:pPr>
      <w:r>
        <w:rPr>
          <w:rFonts w:hint="eastAsia" w:ascii="宋体" w:hAnsi="宋体" w:eastAsia="宋体" w:cs="宋体"/>
          <w:b/>
          <w:bCs/>
          <w:color w:val="auto"/>
          <w:kern w:val="0"/>
          <w:sz w:val="32"/>
          <w:szCs w:val="32"/>
        </w:rPr>
        <w:t>第二章 招标代理机构选取条件及程序</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b/>
          <w:bCs/>
          <w:color w:val="auto"/>
          <w:sz w:val="32"/>
          <w:szCs w:val="32"/>
        </w:rPr>
        <w:t>第六条</w:t>
      </w:r>
      <w:r>
        <w:rPr>
          <w:rFonts w:hint="eastAsia" w:ascii="仿宋" w:hAnsi="仿宋" w:eastAsia="仿宋" w:cs="仿宋"/>
          <w:color w:val="auto"/>
          <w:sz w:val="32"/>
          <w:szCs w:val="32"/>
        </w:rPr>
        <w:t xml:space="preserve"> 代理机构的选取条件</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color w:val="auto"/>
          <w:sz w:val="32"/>
          <w:szCs w:val="32"/>
        </w:rPr>
        <w:t>（一）在辽宁政府采购网登记的社会代理机构；</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color w:val="auto"/>
          <w:sz w:val="32"/>
          <w:szCs w:val="32"/>
        </w:rPr>
        <w:t>（二）遵守国家法律、法规及执业规范，具备健全的内控监督等管理制度，近三年没有与采购代理业务相关的违法、违约行为，未受到与采购代理业务相关的惩戒或处罚；</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color w:val="auto"/>
          <w:sz w:val="32"/>
          <w:szCs w:val="32"/>
        </w:rPr>
        <w:t>（三）有从事招标采购代理业务所需的营业场所、评审条件和设施；</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color w:val="auto"/>
          <w:sz w:val="32"/>
          <w:szCs w:val="32"/>
        </w:rPr>
        <w:t>（四）有能够编制招标采购文件和组织评标的相应专业力量；</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color w:val="auto"/>
          <w:sz w:val="32"/>
          <w:szCs w:val="32"/>
        </w:rPr>
        <w:t>（五）自觉遵守相关法律法规，自觉接受政府采购机构、监管部门的管理及学校纪检监察室的监督。</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color w:val="auto"/>
          <w:sz w:val="32"/>
          <w:szCs w:val="32"/>
        </w:rPr>
        <w:t>（六）符合法律、法规规定的其它条件。</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b/>
          <w:bCs/>
          <w:color w:val="auto"/>
          <w:sz w:val="32"/>
          <w:szCs w:val="32"/>
        </w:rPr>
        <w:t>第七条</w:t>
      </w:r>
      <w:r>
        <w:rPr>
          <w:rFonts w:hint="eastAsia" w:ascii="仿宋" w:hAnsi="仿宋" w:eastAsia="仿宋" w:cs="仿宋"/>
          <w:color w:val="auto"/>
          <w:sz w:val="32"/>
          <w:szCs w:val="32"/>
        </w:rPr>
        <w:t xml:space="preserve"> 代理机构的选取程序如下：</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color w:val="auto"/>
          <w:sz w:val="32"/>
          <w:szCs w:val="32"/>
        </w:rPr>
        <w:t>1、在学校网站发布公告，有意向的代理机构报名；</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color w:val="auto"/>
          <w:sz w:val="32"/>
          <w:szCs w:val="32"/>
        </w:rPr>
        <w:t>2、信用资质情况调查，由采购中心向市财政政府采购监管部门确认代理机构近三年没有因弄虚作假、围标、串标等行为，受到行政或刑事处罚，否则取消选取资格；</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color w:val="auto"/>
          <w:sz w:val="32"/>
          <w:szCs w:val="32"/>
        </w:rPr>
        <w:t>3、学校招标采购领导小组由党委发展规划部（处）、教务处、科技处、计划财务处、审计处、资产管理处、后勤保障部、招标采购中心、</w:t>
      </w:r>
      <w:r>
        <w:rPr>
          <w:rFonts w:hint="eastAsia" w:ascii="仿宋" w:hAnsi="仿宋" w:eastAsia="仿宋" w:cs="仿宋"/>
          <w:color w:val="auto"/>
          <w:sz w:val="32"/>
          <w:szCs w:val="32"/>
          <w:lang w:val="en-US" w:eastAsia="zh-CN"/>
        </w:rPr>
        <w:t>信息</w:t>
      </w:r>
      <w:r>
        <w:rPr>
          <w:rFonts w:hint="eastAsia" w:ascii="仿宋" w:hAnsi="仿宋" w:eastAsia="仿宋" w:cs="仿宋"/>
          <w:color w:val="auto"/>
          <w:sz w:val="32"/>
          <w:szCs w:val="32"/>
        </w:rPr>
        <w:t>中心组成，纪检监察室全程监督；</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color w:val="auto"/>
          <w:sz w:val="32"/>
          <w:szCs w:val="32"/>
        </w:rPr>
        <w:t>4、学校召开招标采购领导小组会议，依据项目的实际情况，从承接类似项目的业绩、执行规范和效率、</w:t>
      </w:r>
      <w:r>
        <w:rPr>
          <w:rFonts w:hint="eastAsia" w:ascii="仿宋" w:hAnsi="仿宋" w:eastAsia="仿宋" w:cs="仿宋"/>
          <w:color w:val="auto"/>
          <w:sz w:val="32"/>
          <w:szCs w:val="32"/>
          <w:lang w:val="en-US" w:eastAsia="zh-CN"/>
        </w:rPr>
        <w:t>社会</w:t>
      </w:r>
      <w:r>
        <w:rPr>
          <w:rFonts w:hint="eastAsia" w:ascii="仿宋" w:hAnsi="仿宋" w:eastAsia="仿宋" w:cs="仿宋"/>
          <w:color w:val="auto"/>
          <w:sz w:val="32"/>
          <w:szCs w:val="32"/>
        </w:rPr>
        <w:t>履约能力评价、软硬件条件、从业人员素质</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代理费用计价</w:t>
      </w:r>
      <w:r>
        <w:rPr>
          <w:rFonts w:hint="eastAsia" w:ascii="仿宋" w:hAnsi="仿宋" w:eastAsia="仿宋" w:cs="仿宋"/>
          <w:color w:val="auto"/>
          <w:sz w:val="32"/>
          <w:szCs w:val="32"/>
        </w:rPr>
        <w:t>等选择标准入手多角度选取优质并符合采购项目类型的代理机构；</w:t>
      </w:r>
    </w:p>
    <w:p>
      <w:pPr>
        <w:pStyle w:val="6"/>
        <w:spacing w:before="0" w:beforeAutospacing="0" w:after="0" w:afterAutospacing="0" w:line="52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5、根据学校议事规则规定，将选取的代理机构提请校长办公会议或学校党委会议审定；</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color w:val="auto"/>
          <w:sz w:val="32"/>
          <w:szCs w:val="32"/>
        </w:rPr>
        <w:t>6、与确定的代理机构签订委托代理协议，明确采购代理范围、权限、期限、档案保存、协议解除及终止、违约责任等具体事项，约定双方权利义务。</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b/>
          <w:bCs/>
          <w:color w:val="auto"/>
          <w:sz w:val="32"/>
          <w:szCs w:val="32"/>
        </w:rPr>
        <w:t>第八条</w:t>
      </w:r>
      <w:r>
        <w:rPr>
          <w:rFonts w:hint="eastAsia" w:ascii="仿宋" w:hAnsi="仿宋" w:eastAsia="仿宋" w:cs="仿宋"/>
          <w:color w:val="auto"/>
          <w:sz w:val="32"/>
          <w:szCs w:val="32"/>
        </w:rPr>
        <w:t xml:space="preserve"> 委托任务分配坚持公平、公正的原则，一项目一委托，逐项下达。</w:t>
      </w:r>
    </w:p>
    <w:p>
      <w:pPr>
        <w:widowControl/>
        <w:spacing w:before="100" w:beforeAutospacing="1" w:after="100" w:afterAutospacing="1" w:line="520" w:lineRule="exact"/>
        <w:jc w:val="center"/>
        <w:rPr>
          <w:rFonts w:hint="eastAsia" w:ascii="宋体" w:hAnsi="宋体" w:eastAsia="宋体" w:cs="宋体"/>
          <w:b/>
          <w:bCs/>
          <w:color w:val="auto"/>
          <w:kern w:val="0"/>
          <w:sz w:val="32"/>
          <w:szCs w:val="32"/>
        </w:rPr>
      </w:pPr>
      <w:r>
        <w:rPr>
          <w:rFonts w:hint="eastAsia" w:ascii="宋体" w:hAnsi="宋体" w:eastAsia="宋体" w:cs="宋体"/>
          <w:b/>
          <w:bCs/>
          <w:color w:val="auto"/>
          <w:kern w:val="0"/>
          <w:sz w:val="32"/>
          <w:szCs w:val="32"/>
          <w:lang w:val="en-US" w:eastAsia="zh-CN"/>
        </w:rPr>
        <w:t>第三章 招标代理机构的职责与要求</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b/>
          <w:bCs/>
          <w:color w:val="auto"/>
          <w:sz w:val="32"/>
          <w:szCs w:val="32"/>
        </w:rPr>
        <w:t xml:space="preserve">第九条 </w:t>
      </w:r>
      <w:r>
        <w:rPr>
          <w:rFonts w:hint="eastAsia" w:ascii="仿宋" w:hAnsi="仿宋" w:eastAsia="仿宋" w:cs="仿宋"/>
          <w:color w:val="auto"/>
          <w:sz w:val="32"/>
          <w:szCs w:val="32"/>
        </w:rPr>
        <w:t>代理机构应严格按照协议开展代理业务，其主要职责包括但不限于以下内容：</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color w:val="auto"/>
          <w:sz w:val="32"/>
          <w:szCs w:val="32"/>
        </w:rPr>
        <w:t>（一）严格执行相关法律、法规和有关规定，遵循公平、公正的原则，认真履行职责，遵守职业道德；</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color w:val="auto"/>
          <w:sz w:val="32"/>
          <w:szCs w:val="32"/>
        </w:rPr>
        <w:t>（二）接受代理业务，依法组织项目实施；</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color w:val="auto"/>
          <w:sz w:val="32"/>
          <w:szCs w:val="32"/>
        </w:rPr>
        <w:t>（三）根据项目需要，组织资格预审、现场踏勘考察、发出澄清答疑，协助处理各类质疑及投诉等；</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color w:val="auto"/>
          <w:sz w:val="32"/>
          <w:szCs w:val="32"/>
        </w:rPr>
        <w:t>（四）根据项目需要，做好政府监管项目实施工作。包括：协助办理相关报批报备手续，协助配合抽取专家，落实评审场所及时间，组织评审活动，做好评审记录并将评审报告送采购人及报有关部门备案等；</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color w:val="auto"/>
          <w:sz w:val="32"/>
          <w:szCs w:val="32"/>
        </w:rPr>
        <w:t>（五）依法及时向成交供应商发出中标（成交）通知书；</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color w:val="auto"/>
          <w:sz w:val="32"/>
          <w:szCs w:val="32"/>
        </w:rPr>
        <w:t>（六）依法对开标及评审活动现场进行全程录音录像，并按要求及时做好采购相关资料的归档和移交；</w:t>
      </w:r>
    </w:p>
    <w:p>
      <w:pPr>
        <w:pStyle w:val="6"/>
        <w:spacing w:before="0" w:beforeAutospacing="0" w:after="0" w:afterAutospacing="0" w:line="520" w:lineRule="exact"/>
        <w:ind w:firstLine="641"/>
        <w:rPr>
          <w:rFonts w:hint="eastAsia" w:ascii="仿宋" w:hAnsi="仿宋" w:eastAsia="仿宋" w:cs="仿宋"/>
          <w:color w:val="auto"/>
          <w:sz w:val="32"/>
          <w:szCs w:val="32"/>
          <w:lang w:eastAsia="zh-CN"/>
        </w:rPr>
      </w:pPr>
      <w:r>
        <w:rPr>
          <w:rFonts w:hint="eastAsia" w:ascii="仿宋" w:hAnsi="仿宋" w:eastAsia="仿宋" w:cs="仿宋"/>
          <w:color w:val="auto"/>
          <w:sz w:val="32"/>
          <w:szCs w:val="32"/>
        </w:rPr>
        <w:t>（七）充分发挥专业优长，积极为学校提供相关法律咨询、业务培训等增值服务</w:t>
      </w:r>
      <w:r>
        <w:rPr>
          <w:rFonts w:hint="eastAsia" w:ascii="仿宋" w:hAnsi="仿宋" w:eastAsia="仿宋" w:cs="仿宋"/>
          <w:color w:val="auto"/>
          <w:sz w:val="32"/>
          <w:szCs w:val="32"/>
          <w:lang w:eastAsia="zh-CN"/>
        </w:rPr>
        <w:t>。</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b/>
          <w:bCs/>
          <w:color w:val="auto"/>
          <w:sz w:val="32"/>
          <w:szCs w:val="32"/>
        </w:rPr>
        <w:t xml:space="preserve">第十条 </w:t>
      </w:r>
      <w:r>
        <w:rPr>
          <w:rFonts w:hint="eastAsia" w:ascii="仿宋" w:hAnsi="仿宋" w:eastAsia="仿宋" w:cs="仿宋"/>
          <w:color w:val="auto"/>
          <w:sz w:val="32"/>
          <w:szCs w:val="32"/>
        </w:rPr>
        <w:t>代理机构应为学校配备专业且稳定的服务团队，团队应由1名项目负责人和若干成员组成。项目负责人应至少具有3年采购代理从业经验，有过硬的政治素质，熟悉政策法规，业务能力突出，工作认真负责，善于组织协调，能够依法依规对委托项目进行全过程管理。</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color w:val="auto"/>
          <w:sz w:val="32"/>
          <w:szCs w:val="32"/>
        </w:rPr>
        <w:t>代理期内，项目负责人不得随意变更。如遇特殊情况确需变更时，应向学校提出书面申请，说明变更理由和替补人员情况，经审核同意后，方可进行调整。</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b/>
          <w:bCs/>
          <w:color w:val="auto"/>
          <w:sz w:val="32"/>
          <w:szCs w:val="32"/>
        </w:rPr>
        <w:t xml:space="preserve">第十一条 </w:t>
      </w:r>
      <w:r>
        <w:rPr>
          <w:rFonts w:hint="eastAsia" w:ascii="仿宋" w:hAnsi="仿宋" w:eastAsia="仿宋" w:cs="仿宋"/>
          <w:color w:val="auto"/>
          <w:sz w:val="32"/>
          <w:szCs w:val="32"/>
        </w:rPr>
        <w:t>代理机构应及时将项目资料整理归档，并在项目结束后15日内移交学校，项目资料包括但不限于采购活动记录、招标（采购）文件、投标（响应）文件、评标（审）报告、质疑答复等文件资料的纸质版及相关材料的电子版。</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b/>
          <w:bCs/>
          <w:color w:val="auto"/>
          <w:sz w:val="32"/>
          <w:szCs w:val="32"/>
        </w:rPr>
        <w:t xml:space="preserve">第十二条 </w:t>
      </w:r>
      <w:r>
        <w:rPr>
          <w:rFonts w:hint="eastAsia" w:ascii="仿宋" w:hAnsi="仿宋" w:eastAsia="仿宋" w:cs="仿宋"/>
          <w:color w:val="auto"/>
          <w:sz w:val="32"/>
          <w:szCs w:val="32"/>
        </w:rPr>
        <w:t>代理机构应当严格遵守保密约定，依法承担保密义务。除有关监督管理部门依法进行核查外，代理机构应当禁止任何单位和个人查阅学校采购项目相关资料。</w:t>
      </w:r>
    </w:p>
    <w:p>
      <w:pPr>
        <w:widowControl/>
        <w:spacing w:before="100" w:beforeAutospacing="1" w:after="100" w:afterAutospacing="1" w:line="520" w:lineRule="exact"/>
        <w:jc w:val="center"/>
        <w:rPr>
          <w:rFonts w:hint="eastAsia" w:ascii="宋体" w:hAnsi="宋体" w:eastAsia="宋体" w:cs="宋体"/>
          <w:b/>
          <w:bCs/>
          <w:color w:val="auto"/>
          <w:kern w:val="0"/>
          <w:sz w:val="32"/>
          <w:szCs w:val="32"/>
          <w:lang w:val="en-US" w:eastAsia="zh-CN"/>
        </w:rPr>
      </w:pPr>
      <w:r>
        <w:rPr>
          <w:rFonts w:hint="eastAsia" w:ascii="宋体" w:hAnsi="宋体" w:eastAsia="宋体" w:cs="宋体"/>
          <w:b/>
          <w:bCs/>
          <w:color w:val="auto"/>
          <w:kern w:val="0"/>
          <w:sz w:val="32"/>
          <w:szCs w:val="32"/>
          <w:lang w:val="en-US" w:eastAsia="zh-CN"/>
        </w:rPr>
        <w:t>第四章 招标代理机构管理</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b/>
          <w:bCs/>
          <w:color w:val="auto"/>
          <w:sz w:val="32"/>
          <w:szCs w:val="32"/>
        </w:rPr>
        <w:t xml:space="preserve">第十三条 </w:t>
      </w:r>
      <w:r>
        <w:rPr>
          <w:rFonts w:hint="eastAsia" w:ascii="仿宋" w:hAnsi="仿宋" w:eastAsia="仿宋" w:cs="仿宋"/>
          <w:color w:val="auto"/>
          <w:sz w:val="32"/>
          <w:szCs w:val="32"/>
        </w:rPr>
        <w:t>计划财务处对代理机构的管理履行监督职责，监督学校各项招标代理业务。</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b/>
          <w:bCs/>
          <w:color w:val="auto"/>
          <w:sz w:val="32"/>
          <w:szCs w:val="32"/>
        </w:rPr>
        <w:t>第十四条</w:t>
      </w:r>
      <w:r>
        <w:rPr>
          <w:rFonts w:hint="eastAsia" w:ascii="仿宋" w:hAnsi="仿宋" w:eastAsia="仿宋" w:cs="仿宋"/>
          <w:color w:val="auto"/>
          <w:sz w:val="32"/>
          <w:szCs w:val="32"/>
        </w:rPr>
        <w:t xml:space="preserve"> 代理机构应积极配合学校、财政部门及其他监督检查部门的监督检查。</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b/>
          <w:bCs/>
          <w:color w:val="auto"/>
          <w:sz w:val="32"/>
          <w:szCs w:val="32"/>
        </w:rPr>
        <w:t>第十五条</w:t>
      </w:r>
      <w:r>
        <w:rPr>
          <w:rFonts w:hint="eastAsia" w:ascii="仿宋" w:hAnsi="仿宋" w:eastAsia="仿宋" w:cs="仿宋"/>
          <w:color w:val="auto"/>
          <w:sz w:val="32"/>
          <w:szCs w:val="32"/>
        </w:rPr>
        <w:t xml:space="preserve"> 有下列情形之一的，立即终止招标代理的委托工作，并记入中介机构诚信档案，后续不得承担学校的招标代理业务：</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color w:val="auto"/>
          <w:sz w:val="32"/>
          <w:szCs w:val="32"/>
        </w:rPr>
        <w:t>（一）存在企业资质、业绩、奖惩情况、执业人员等方面弄虚作假、挂靠、提供不实信息资料的；</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color w:val="auto"/>
          <w:sz w:val="32"/>
          <w:szCs w:val="32"/>
        </w:rPr>
        <w:t>（二）违反有关法律、法规，被司法机关、行政监督等部门或行业自律组织处罚或处理的；</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color w:val="auto"/>
          <w:sz w:val="32"/>
          <w:szCs w:val="32"/>
        </w:rPr>
        <w:t>（三）在开展业务过程中，串通违规操作、弄虚作假、提供虚假报告的；</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color w:val="auto"/>
          <w:sz w:val="32"/>
          <w:szCs w:val="32"/>
        </w:rPr>
        <w:t>（四）取得项目招标代理资格后，转包给其它代理机构的；</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color w:val="auto"/>
          <w:sz w:val="32"/>
          <w:szCs w:val="32"/>
        </w:rPr>
        <w:t>（五）取得项目招标代理资格后，无正当理由放弃代理资格的；</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color w:val="auto"/>
          <w:sz w:val="32"/>
          <w:szCs w:val="32"/>
        </w:rPr>
        <w:t>（六）考核评价不合格的；</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color w:val="auto"/>
          <w:sz w:val="32"/>
          <w:szCs w:val="32"/>
        </w:rPr>
        <w:t>（七）法律法规禁止或委托代理协议中约定的其他禁止行为。</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b/>
          <w:bCs/>
          <w:color w:val="auto"/>
          <w:sz w:val="32"/>
          <w:szCs w:val="32"/>
        </w:rPr>
        <w:t>第十六条</w:t>
      </w:r>
      <w:r>
        <w:rPr>
          <w:rFonts w:hint="eastAsia" w:ascii="仿宋" w:hAnsi="仿宋" w:eastAsia="仿宋" w:cs="仿宋"/>
          <w:b/>
          <w:bCs/>
          <w:color w:val="auto"/>
          <w:sz w:val="32"/>
          <w:szCs w:val="32"/>
          <w:lang w:val="en-US" w:eastAsia="zh-CN"/>
        </w:rPr>
        <w:t xml:space="preserve"> </w:t>
      </w:r>
      <w:r>
        <w:rPr>
          <w:rFonts w:hint="eastAsia" w:ascii="仿宋" w:hAnsi="仿宋" w:eastAsia="仿宋" w:cs="仿宋"/>
          <w:color w:val="auto"/>
          <w:sz w:val="32"/>
          <w:szCs w:val="32"/>
        </w:rPr>
        <w:t>代理机构接受委托后，在服务期内出现终止委托代理协议情形时，视以下情况分别处理：</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color w:val="auto"/>
          <w:sz w:val="32"/>
          <w:szCs w:val="32"/>
        </w:rPr>
        <w:t>（一）项目尚未开始执行，则终止该项目执行，由采购中心重新分派委托代理任务；</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color w:val="auto"/>
          <w:sz w:val="32"/>
          <w:szCs w:val="32"/>
        </w:rPr>
        <w:t>（二）项目已经开始执行，如能够终止执行的应当及时终止执行，确因客观原因无法终止执行的，应当继续按协议约定完成项目代理工作。</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b/>
          <w:bCs/>
          <w:color w:val="auto"/>
          <w:sz w:val="32"/>
          <w:szCs w:val="32"/>
        </w:rPr>
        <w:t>第十七条</w:t>
      </w:r>
      <w:r>
        <w:rPr>
          <w:rFonts w:hint="eastAsia" w:ascii="仿宋" w:hAnsi="仿宋" w:eastAsia="仿宋" w:cs="仿宋"/>
          <w:b/>
          <w:bCs/>
          <w:color w:val="auto"/>
          <w:sz w:val="32"/>
          <w:szCs w:val="32"/>
          <w:lang w:val="en-US" w:eastAsia="zh-CN"/>
        </w:rPr>
        <w:t xml:space="preserve"> </w:t>
      </w:r>
      <w:r>
        <w:rPr>
          <w:rFonts w:hint="eastAsia" w:ascii="仿宋" w:hAnsi="仿宋" w:eastAsia="仿宋" w:cs="仿宋"/>
          <w:color w:val="auto"/>
          <w:sz w:val="32"/>
          <w:szCs w:val="32"/>
        </w:rPr>
        <w:t>代理机构在提供服务过程中有下列情形之一的，学校有权向上级部门报告，提请上级部门依法处理处罚：</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color w:val="auto"/>
          <w:sz w:val="32"/>
          <w:szCs w:val="32"/>
        </w:rPr>
        <w:t>（一）利用工作上的便利，收受他人财物或者其它利益的；</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color w:val="auto"/>
          <w:sz w:val="32"/>
          <w:szCs w:val="32"/>
        </w:rPr>
        <w:t>（二）不认真履行招标代理职责，或者发现违法行为不向有关部门报告的；</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color w:val="auto"/>
          <w:sz w:val="32"/>
          <w:szCs w:val="32"/>
        </w:rPr>
        <w:t>（三）违反保密纪律或回避规定的；</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color w:val="auto"/>
          <w:sz w:val="32"/>
          <w:szCs w:val="32"/>
        </w:rPr>
        <w:t>（四）拒绝接受相关部门指导和监督的。</w:t>
      </w:r>
    </w:p>
    <w:p>
      <w:pPr>
        <w:rPr>
          <w:rFonts w:hint="eastAsia" w:ascii="宋体" w:hAnsi="宋体" w:eastAsia="宋体" w:cs="宋体"/>
          <w:b/>
          <w:bCs/>
          <w:color w:val="auto"/>
          <w:kern w:val="0"/>
          <w:sz w:val="32"/>
          <w:szCs w:val="32"/>
          <w:lang w:val="en-US" w:eastAsia="zh-CN"/>
        </w:rPr>
      </w:pPr>
      <w:r>
        <w:rPr>
          <w:rFonts w:hint="eastAsia" w:ascii="宋体" w:hAnsi="宋体" w:eastAsia="宋体" w:cs="宋体"/>
          <w:b/>
          <w:bCs/>
          <w:color w:val="auto"/>
          <w:kern w:val="0"/>
          <w:sz w:val="32"/>
          <w:szCs w:val="32"/>
          <w:lang w:val="en-US" w:eastAsia="zh-CN"/>
        </w:rPr>
        <w:br w:type="page"/>
      </w:r>
    </w:p>
    <w:p>
      <w:pPr>
        <w:widowControl/>
        <w:spacing w:before="100" w:beforeAutospacing="1" w:after="100" w:afterAutospacing="1" w:line="520" w:lineRule="exact"/>
        <w:jc w:val="center"/>
        <w:rPr>
          <w:rFonts w:hint="eastAsia" w:ascii="宋体" w:hAnsi="宋体" w:eastAsia="宋体" w:cs="宋体"/>
          <w:b/>
          <w:bCs/>
          <w:color w:val="auto"/>
          <w:kern w:val="0"/>
          <w:sz w:val="32"/>
          <w:szCs w:val="32"/>
          <w:lang w:val="en-US" w:eastAsia="zh-CN"/>
        </w:rPr>
      </w:pPr>
      <w:r>
        <w:rPr>
          <w:rFonts w:hint="eastAsia" w:ascii="宋体" w:hAnsi="宋体" w:eastAsia="宋体" w:cs="宋体"/>
          <w:b/>
          <w:bCs/>
          <w:color w:val="auto"/>
          <w:kern w:val="0"/>
          <w:sz w:val="32"/>
          <w:szCs w:val="32"/>
          <w:lang w:val="en-US" w:eastAsia="zh-CN"/>
        </w:rPr>
        <w:t>第五章 附则</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b/>
          <w:bCs/>
          <w:color w:val="auto"/>
          <w:sz w:val="32"/>
          <w:szCs w:val="32"/>
        </w:rPr>
        <w:t>第十八条</w:t>
      </w:r>
      <w:r>
        <w:rPr>
          <w:rFonts w:hint="eastAsia" w:ascii="仿宋" w:hAnsi="仿宋" w:eastAsia="仿宋" w:cs="仿宋"/>
          <w:color w:val="auto"/>
          <w:sz w:val="32"/>
          <w:szCs w:val="32"/>
        </w:rPr>
        <w:t xml:space="preserve"> 本办法由招标采购中心负责解释。</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b/>
          <w:bCs/>
          <w:color w:val="auto"/>
          <w:sz w:val="32"/>
          <w:szCs w:val="32"/>
        </w:rPr>
        <w:t>第十九条</w:t>
      </w:r>
      <w:r>
        <w:rPr>
          <w:rFonts w:hint="eastAsia" w:ascii="仿宋" w:hAnsi="仿宋" w:eastAsia="仿宋" w:cs="仿宋"/>
          <w:color w:val="auto"/>
          <w:sz w:val="32"/>
          <w:szCs w:val="32"/>
        </w:rPr>
        <w:t xml:space="preserve"> 本办法自发布之日起执行，原《鞍山师范学院招标代理机构管理办法（试行）》</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鞍师委发</w:t>
      </w:r>
      <w:r>
        <w:rPr>
          <w:rFonts w:hint="eastAsia" w:ascii="仿宋" w:hAnsi="仿宋" w:eastAsia="仿宋" w:cs="仿宋"/>
          <w:color w:val="auto"/>
          <w:sz w:val="32"/>
          <w:szCs w:val="32"/>
          <w:lang w:val="en-US" w:eastAsia="zh-CN"/>
        </w:rPr>
        <w:t>〔2021〕</w:t>
      </w:r>
      <w:r>
        <w:rPr>
          <w:rFonts w:hint="eastAsia" w:ascii="仿宋" w:hAnsi="仿宋" w:eastAsia="仿宋" w:cs="仿宋"/>
          <w:color w:val="auto"/>
          <w:sz w:val="32"/>
          <w:szCs w:val="32"/>
        </w:rPr>
        <w:t>22号</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文件同时废止。</w:t>
      </w:r>
    </w:p>
    <w:p>
      <w:pPr>
        <w:pStyle w:val="6"/>
        <w:spacing w:before="0" w:beforeAutospacing="0" w:after="0" w:afterAutospacing="0" w:line="520" w:lineRule="exact"/>
        <w:ind w:firstLine="641"/>
        <w:rPr>
          <w:rFonts w:hint="eastAsia" w:ascii="仿宋" w:hAnsi="仿宋" w:eastAsia="仿宋" w:cs="仿宋"/>
          <w:color w:val="auto"/>
          <w:sz w:val="32"/>
          <w:szCs w:val="32"/>
        </w:rPr>
      </w:pPr>
      <w:r>
        <w:rPr>
          <w:rFonts w:hint="eastAsia" w:ascii="仿宋" w:hAnsi="仿宋" w:eastAsia="仿宋" w:cs="仿宋"/>
          <w:b/>
          <w:bCs/>
          <w:color w:val="auto"/>
          <w:sz w:val="32"/>
          <w:szCs w:val="32"/>
        </w:rPr>
        <w:t xml:space="preserve">第二十条 </w:t>
      </w:r>
      <w:r>
        <w:rPr>
          <w:rFonts w:hint="eastAsia" w:ascii="仿宋" w:hAnsi="仿宋" w:eastAsia="仿宋" w:cs="仿宋"/>
          <w:color w:val="auto"/>
          <w:sz w:val="32"/>
          <w:szCs w:val="32"/>
        </w:rPr>
        <w:t>本办法实行期间，如遇国家或上级主管部门出台新的法律、法规和政策不一致时，从其规定。</w:t>
      </w:r>
    </w:p>
    <w:p>
      <w:pPr>
        <w:pStyle w:val="6"/>
        <w:spacing w:before="0" w:beforeAutospacing="0" w:after="0" w:afterAutospacing="0" w:line="520" w:lineRule="exact"/>
        <w:ind w:firstLine="641"/>
        <w:rPr>
          <w:rFonts w:hint="eastAsia" w:ascii="仿宋" w:hAnsi="仿宋" w:eastAsia="仿宋" w:cs="仿宋"/>
          <w:color w:val="auto"/>
          <w:sz w:val="32"/>
          <w:szCs w:val="32"/>
        </w:rPr>
      </w:pPr>
    </w:p>
    <w:p>
      <w:pPr>
        <w:pStyle w:val="6"/>
        <w:spacing w:before="0" w:beforeAutospacing="0" w:after="0" w:afterAutospacing="0" w:line="520" w:lineRule="exact"/>
        <w:ind w:firstLine="641"/>
        <w:rPr>
          <w:rFonts w:hint="eastAsia" w:ascii="仿宋" w:hAnsi="仿宋" w:eastAsia="仿宋" w:cs="仿宋"/>
          <w:color w:val="auto"/>
          <w:sz w:val="32"/>
          <w:szCs w:val="32"/>
        </w:rPr>
      </w:pPr>
    </w:p>
    <w:p>
      <w:pPr>
        <w:pStyle w:val="6"/>
        <w:spacing w:before="0" w:beforeAutospacing="0" w:after="0" w:afterAutospacing="0" w:line="520" w:lineRule="exact"/>
        <w:ind w:firstLine="641"/>
        <w:rPr>
          <w:rFonts w:hint="eastAsia" w:ascii="仿宋" w:hAnsi="仿宋" w:eastAsia="仿宋" w:cs="仿宋"/>
          <w:color w:val="auto"/>
          <w:sz w:val="32"/>
          <w:szCs w:val="32"/>
          <w:highlight w:val="yellow"/>
        </w:rPr>
      </w:pPr>
      <w:r>
        <w:rPr>
          <w:rFonts w:hint="eastAsia" w:ascii="仿宋" w:hAnsi="仿宋" w:eastAsia="仿宋" w:cs="仿宋"/>
          <w:color w:val="auto"/>
          <w:sz w:val="32"/>
          <w:szCs w:val="32"/>
        </w:rPr>
        <w:t>附件：招标代理机构选取表</w:t>
      </w:r>
      <w:r>
        <w:rPr>
          <w:rFonts w:hint="eastAsia" w:ascii="仿宋" w:hAnsi="仿宋" w:eastAsia="仿宋" w:cs="仿宋"/>
          <w:color w:val="auto"/>
          <w:sz w:val="32"/>
          <w:szCs w:val="32"/>
        </w:rPr>
        <w:br w:type="page"/>
      </w:r>
    </w:p>
    <w:p>
      <w:pPr>
        <w:jc w:val="both"/>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附件</w:t>
      </w:r>
    </w:p>
    <w:p>
      <w:pPr>
        <w:pStyle w:val="6"/>
        <w:spacing w:before="0" w:beforeAutospacing="0" w:after="0" w:afterAutospacing="0" w:line="520" w:lineRule="exact"/>
        <w:ind w:firstLine="641"/>
        <w:jc w:val="center"/>
        <w:rPr>
          <w:rFonts w:hint="eastAsia" w:ascii="仿宋" w:hAnsi="仿宋" w:eastAsia="仿宋" w:cs="仿宋"/>
          <w:b/>
          <w:bCs/>
          <w:color w:val="auto"/>
          <w:sz w:val="32"/>
          <w:szCs w:val="32"/>
        </w:rPr>
      </w:pPr>
      <w:r>
        <w:rPr>
          <w:rFonts w:hint="eastAsia" w:ascii="仿宋" w:hAnsi="仿宋" w:eastAsia="仿宋" w:cs="仿宋"/>
          <w:b/>
          <w:bCs/>
          <w:color w:val="auto"/>
          <w:sz w:val="32"/>
          <w:szCs w:val="32"/>
        </w:rPr>
        <w:t>招标代理机构选取表</w:t>
      </w:r>
    </w:p>
    <w:tbl>
      <w:tblPr>
        <w:tblStyle w:val="8"/>
        <w:tblpPr w:leftFromText="180" w:rightFromText="180" w:vertAnchor="text" w:horzAnchor="page" w:tblpX="1054" w:tblpY="390"/>
        <w:tblOverlap w:val="never"/>
        <w:tblW w:w="99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3"/>
        <w:gridCol w:w="5426"/>
        <w:gridCol w:w="30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513" w:type="dxa"/>
            <w:vAlign w:val="center"/>
          </w:tcPr>
          <w:p>
            <w:pPr>
              <w:jc w:val="center"/>
              <w:rPr>
                <w:rFonts w:hint="eastAsia" w:ascii="仿宋" w:hAnsi="仿宋" w:eastAsia="仿宋" w:cs="仿宋"/>
                <w:color w:val="auto"/>
                <w:sz w:val="32"/>
                <w:szCs w:val="32"/>
              </w:rPr>
            </w:pPr>
            <w:r>
              <w:rPr>
                <w:rFonts w:hint="eastAsia" w:ascii="仿宋" w:hAnsi="仿宋" w:eastAsia="仿宋" w:cs="仿宋"/>
                <w:color w:val="auto"/>
                <w:sz w:val="32"/>
                <w:szCs w:val="32"/>
              </w:rPr>
              <w:t>序号</w:t>
            </w:r>
          </w:p>
        </w:tc>
        <w:tc>
          <w:tcPr>
            <w:tcW w:w="5426" w:type="dxa"/>
            <w:vAlign w:val="center"/>
          </w:tcPr>
          <w:p>
            <w:pPr>
              <w:jc w:val="center"/>
              <w:rPr>
                <w:rFonts w:hint="eastAsia" w:ascii="仿宋" w:hAnsi="仿宋" w:eastAsia="仿宋" w:cs="仿宋"/>
                <w:color w:val="auto"/>
                <w:sz w:val="32"/>
                <w:szCs w:val="32"/>
              </w:rPr>
            </w:pPr>
            <w:r>
              <w:rPr>
                <w:rFonts w:hint="eastAsia" w:ascii="仿宋" w:hAnsi="仿宋" w:eastAsia="仿宋" w:cs="仿宋"/>
                <w:color w:val="auto"/>
                <w:sz w:val="32"/>
                <w:szCs w:val="32"/>
              </w:rPr>
              <w:t>招标代理机构名称</w:t>
            </w:r>
          </w:p>
        </w:tc>
        <w:tc>
          <w:tcPr>
            <w:tcW w:w="3022" w:type="dxa"/>
            <w:vAlign w:val="center"/>
          </w:tcPr>
          <w:p>
            <w:pPr>
              <w:jc w:val="center"/>
              <w:rPr>
                <w:rFonts w:hint="eastAsia" w:ascii="仿宋" w:hAnsi="仿宋" w:eastAsia="仿宋" w:cs="仿宋"/>
                <w:color w:val="auto"/>
                <w:sz w:val="32"/>
                <w:szCs w:val="32"/>
              </w:rPr>
            </w:pPr>
            <w:r>
              <w:rPr>
                <w:rFonts w:hint="eastAsia" w:ascii="仿宋" w:hAnsi="仿宋" w:eastAsia="仿宋" w:cs="仿宋"/>
                <w:color w:val="auto"/>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513" w:type="dxa"/>
            <w:vAlign w:val="center"/>
          </w:tcPr>
          <w:p>
            <w:pPr>
              <w:jc w:val="center"/>
              <w:rPr>
                <w:rFonts w:hint="eastAsia" w:ascii="仿宋" w:hAnsi="仿宋" w:eastAsia="仿宋" w:cs="仿宋"/>
                <w:color w:val="auto"/>
                <w:sz w:val="32"/>
                <w:szCs w:val="32"/>
              </w:rPr>
            </w:pPr>
            <w:r>
              <w:rPr>
                <w:rFonts w:hint="eastAsia" w:ascii="仿宋" w:hAnsi="仿宋" w:eastAsia="仿宋" w:cs="仿宋"/>
                <w:color w:val="auto"/>
                <w:sz w:val="32"/>
                <w:szCs w:val="32"/>
              </w:rPr>
              <w:t>1</w:t>
            </w:r>
          </w:p>
        </w:tc>
        <w:tc>
          <w:tcPr>
            <w:tcW w:w="5426" w:type="dxa"/>
            <w:vAlign w:val="center"/>
          </w:tcPr>
          <w:p>
            <w:pPr>
              <w:jc w:val="center"/>
              <w:rPr>
                <w:rFonts w:hint="eastAsia" w:ascii="仿宋" w:hAnsi="仿宋" w:eastAsia="仿宋" w:cs="仿宋"/>
                <w:color w:val="auto"/>
                <w:sz w:val="32"/>
                <w:szCs w:val="32"/>
              </w:rPr>
            </w:pPr>
          </w:p>
        </w:tc>
        <w:tc>
          <w:tcPr>
            <w:tcW w:w="3022" w:type="dxa"/>
            <w:vAlign w:val="center"/>
          </w:tcPr>
          <w:p>
            <w:pPr>
              <w:jc w:val="center"/>
              <w:rPr>
                <w:rFonts w:hint="eastAsia" w:ascii="仿宋" w:hAnsi="仿宋" w:eastAsia="仿宋" w:cs="仿宋"/>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513" w:type="dxa"/>
            <w:vAlign w:val="center"/>
          </w:tcPr>
          <w:p>
            <w:pPr>
              <w:jc w:val="center"/>
              <w:rPr>
                <w:rFonts w:hint="eastAsia" w:ascii="仿宋" w:hAnsi="仿宋" w:eastAsia="仿宋" w:cs="仿宋"/>
                <w:color w:val="auto"/>
                <w:sz w:val="32"/>
                <w:szCs w:val="32"/>
              </w:rPr>
            </w:pPr>
            <w:r>
              <w:rPr>
                <w:rFonts w:hint="eastAsia" w:ascii="仿宋" w:hAnsi="仿宋" w:eastAsia="仿宋" w:cs="仿宋"/>
                <w:color w:val="auto"/>
                <w:sz w:val="32"/>
                <w:szCs w:val="32"/>
              </w:rPr>
              <w:t>2</w:t>
            </w:r>
          </w:p>
        </w:tc>
        <w:tc>
          <w:tcPr>
            <w:tcW w:w="5426" w:type="dxa"/>
            <w:vAlign w:val="center"/>
          </w:tcPr>
          <w:p>
            <w:pPr>
              <w:jc w:val="center"/>
              <w:rPr>
                <w:rFonts w:hint="eastAsia" w:ascii="仿宋" w:hAnsi="仿宋" w:eastAsia="仿宋" w:cs="仿宋"/>
                <w:color w:val="auto"/>
                <w:sz w:val="32"/>
                <w:szCs w:val="32"/>
              </w:rPr>
            </w:pPr>
          </w:p>
        </w:tc>
        <w:tc>
          <w:tcPr>
            <w:tcW w:w="3022" w:type="dxa"/>
            <w:vAlign w:val="center"/>
          </w:tcPr>
          <w:p>
            <w:pPr>
              <w:jc w:val="center"/>
              <w:rPr>
                <w:rFonts w:hint="eastAsia" w:ascii="仿宋" w:hAnsi="仿宋" w:eastAsia="仿宋" w:cs="仿宋"/>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513" w:type="dxa"/>
            <w:vAlign w:val="center"/>
          </w:tcPr>
          <w:p>
            <w:pPr>
              <w:jc w:val="center"/>
              <w:rPr>
                <w:rFonts w:hint="eastAsia" w:ascii="仿宋" w:hAnsi="仿宋" w:eastAsia="仿宋" w:cs="仿宋"/>
                <w:color w:val="auto"/>
                <w:sz w:val="32"/>
                <w:szCs w:val="32"/>
              </w:rPr>
            </w:pPr>
            <w:r>
              <w:rPr>
                <w:rFonts w:hint="eastAsia" w:ascii="仿宋" w:hAnsi="仿宋" w:eastAsia="仿宋" w:cs="仿宋"/>
                <w:color w:val="auto"/>
                <w:sz w:val="32"/>
                <w:szCs w:val="32"/>
              </w:rPr>
              <w:t>3</w:t>
            </w:r>
          </w:p>
        </w:tc>
        <w:tc>
          <w:tcPr>
            <w:tcW w:w="5426" w:type="dxa"/>
            <w:vAlign w:val="center"/>
          </w:tcPr>
          <w:p>
            <w:pPr>
              <w:jc w:val="center"/>
              <w:rPr>
                <w:rFonts w:hint="eastAsia" w:ascii="仿宋" w:hAnsi="仿宋" w:eastAsia="仿宋" w:cs="仿宋"/>
                <w:color w:val="auto"/>
                <w:sz w:val="32"/>
                <w:szCs w:val="32"/>
              </w:rPr>
            </w:pPr>
          </w:p>
        </w:tc>
        <w:tc>
          <w:tcPr>
            <w:tcW w:w="3022" w:type="dxa"/>
            <w:vAlign w:val="center"/>
          </w:tcPr>
          <w:p>
            <w:pPr>
              <w:jc w:val="center"/>
              <w:rPr>
                <w:rFonts w:hint="eastAsia" w:ascii="仿宋" w:hAnsi="仿宋" w:eastAsia="仿宋" w:cs="仿宋"/>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513" w:type="dxa"/>
            <w:vAlign w:val="center"/>
          </w:tcPr>
          <w:p>
            <w:pPr>
              <w:jc w:val="center"/>
              <w:rPr>
                <w:rFonts w:hint="eastAsia" w:ascii="仿宋" w:hAnsi="仿宋" w:eastAsia="仿宋" w:cs="仿宋"/>
                <w:color w:val="auto"/>
                <w:sz w:val="32"/>
                <w:szCs w:val="32"/>
              </w:rPr>
            </w:pPr>
            <w:r>
              <w:rPr>
                <w:rFonts w:hint="eastAsia" w:ascii="仿宋" w:hAnsi="仿宋" w:eastAsia="仿宋" w:cs="仿宋"/>
                <w:color w:val="auto"/>
                <w:sz w:val="32"/>
                <w:szCs w:val="32"/>
              </w:rPr>
              <w:t>4</w:t>
            </w:r>
          </w:p>
        </w:tc>
        <w:tc>
          <w:tcPr>
            <w:tcW w:w="5426" w:type="dxa"/>
            <w:vAlign w:val="center"/>
          </w:tcPr>
          <w:p>
            <w:pPr>
              <w:jc w:val="center"/>
              <w:rPr>
                <w:rFonts w:hint="eastAsia" w:ascii="仿宋" w:hAnsi="仿宋" w:eastAsia="仿宋" w:cs="仿宋"/>
                <w:color w:val="auto"/>
                <w:sz w:val="32"/>
                <w:szCs w:val="32"/>
              </w:rPr>
            </w:pPr>
          </w:p>
        </w:tc>
        <w:tc>
          <w:tcPr>
            <w:tcW w:w="3022" w:type="dxa"/>
            <w:vAlign w:val="center"/>
          </w:tcPr>
          <w:p>
            <w:pPr>
              <w:jc w:val="center"/>
              <w:rPr>
                <w:rFonts w:hint="eastAsia" w:ascii="仿宋" w:hAnsi="仿宋" w:eastAsia="仿宋" w:cs="仿宋"/>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trPr>
        <w:tc>
          <w:tcPr>
            <w:tcW w:w="1513" w:type="dxa"/>
            <w:vAlign w:val="center"/>
          </w:tcPr>
          <w:p>
            <w:pPr>
              <w:jc w:val="center"/>
              <w:rPr>
                <w:rFonts w:hint="eastAsia" w:ascii="仿宋" w:hAnsi="仿宋" w:eastAsia="仿宋" w:cs="仿宋"/>
                <w:color w:val="auto"/>
                <w:sz w:val="32"/>
                <w:szCs w:val="32"/>
              </w:rPr>
            </w:pPr>
            <w:r>
              <w:rPr>
                <w:rFonts w:hint="eastAsia" w:ascii="仿宋" w:hAnsi="仿宋" w:eastAsia="仿宋" w:cs="仿宋"/>
                <w:color w:val="auto"/>
                <w:sz w:val="32"/>
                <w:szCs w:val="32"/>
              </w:rPr>
              <w:t>5</w:t>
            </w:r>
          </w:p>
        </w:tc>
        <w:tc>
          <w:tcPr>
            <w:tcW w:w="5426" w:type="dxa"/>
            <w:vAlign w:val="center"/>
          </w:tcPr>
          <w:p>
            <w:pPr>
              <w:jc w:val="center"/>
              <w:rPr>
                <w:rFonts w:hint="eastAsia" w:ascii="仿宋" w:hAnsi="仿宋" w:eastAsia="仿宋" w:cs="仿宋"/>
                <w:color w:val="auto"/>
                <w:sz w:val="32"/>
                <w:szCs w:val="32"/>
              </w:rPr>
            </w:pPr>
          </w:p>
        </w:tc>
        <w:tc>
          <w:tcPr>
            <w:tcW w:w="3022" w:type="dxa"/>
            <w:vAlign w:val="center"/>
          </w:tcPr>
          <w:p>
            <w:pPr>
              <w:jc w:val="center"/>
              <w:rPr>
                <w:rFonts w:hint="eastAsia" w:ascii="仿宋" w:hAnsi="仿宋" w:eastAsia="仿宋" w:cs="仿宋"/>
                <w:color w:val="auto"/>
                <w:sz w:val="32"/>
                <w:szCs w:val="32"/>
              </w:rPr>
            </w:pPr>
          </w:p>
        </w:tc>
      </w:tr>
    </w:tbl>
    <w:p>
      <w:pPr>
        <w:ind w:firstLine="1280" w:firstLineChars="400"/>
        <w:rPr>
          <w:rFonts w:hint="eastAsia" w:ascii="仿宋" w:hAnsi="仿宋" w:eastAsia="仿宋" w:cs="仿宋"/>
          <w:color w:val="auto"/>
          <w:sz w:val="32"/>
          <w:szCs w:val="32"/>
        </w:rPr>
      </w:pPr>
      <w:r>
        <w:rPr>
          <w:rFonts w:hint="eastAsia" w:ascii="仿宋" w:hAnsi="仿宋" w:eastAsia="仿宋" w:cs="仿宋"/>
          <w:color w:val="auto"/>
          <w:sz w:val="32"/>
          <w:szCs w:val="32"/>
        </w:rPr>
        <w:t>签字：                         年   月   日</w:t>
      </w:r>
    </w:p>
    <w:p>
      <w:pPr>
        <w:jc w:val="center"/>
        <w:rPr>
          <w:rFonts w:asciiTheme="majorEastAsia" w:hAnsiTheme="majorEastAsia" w:eastAsiaTheme="majorEastAsia"/>
          <w:b/>
          <w:color w:val="auto"/>
          <w:sz w:val="36"/>
          <w:szCs w:val="36"/>
        </w:rPr>
      </w:pPr>
    </w:p>
    <w:p>
      <w:pPr>
        <w:jc w:val="center"/>
        <w:rPr>
          <w:rFonts w:asciiTheme="majorEastAsia" w:hAnsiTheme="majorEastAsia" w:eastAsiaTheme="majorEastAsia"/>
          <w:b/>
          <w:color w:val="auto"/>
          <w:sz w:val="36"/>
          <w:szCs w:val="36"/>
        </w:rPr>
      </w:pPr>
    </w:p>
    <w:p>
      <w:pPr>
        <w:widowControl/>
        <w:jc w:val="left"/>
        <w:rPr>
          <w:rFonts w:asciiTheme="majorEastAsia" w:hAnsiTheme="majorEastAsia" w:eastAsiaTheme="majorEastAsia"/>
          <w:b/>
          <w:color w:val="auto"/>
          <w:sz w:val="36"/>
          <w:szCs w:val="36"/>
        </w:rPr>
      </w:pPr>
    </w:p>
    <w:p>
      <w:pPr>
        <w:keepNext w:val="0"/>
        <w:keepLines w:val="0"/>
        <w:pageBreakBefore w:val="0"/>
        <w:widowControl/>
        <w:numPr>
          <w:ilvl w:val="0"/>
          <w:numId w:val="0"/>
        </w:numPr>
        <w:kinsoku/>
        <w:wordWrap/>
        <w:overflowPunct/>
        <w:topLinePunct w:val="0"/>
        <w:autoSpaceDE/>
        <w:autoSpaceDN/>
        <w:bidi w:val="0"/>
        <w:adjustRightInd/>
        <w:snapToGrid/>
        <w:spacing w:before="100" w:beforeAutospacing="1" w:after="100" w:afterAutospacing="1" w:line="520" w:lineRule="exact"/>
        <w:jc w:val="both"/>
        <w:textAlignment w:val="auto"/>
        <w:rPr>
          <w:rFonts w:hint="eastAsia" w:ascii="黑体" w:hAnsi="黑体" w:eastAsia="黑体" w:cs="黑体"/>
          <w:color w:val="auto"/>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zZjk0N2UyNTg2NWYxM2QzNDZhMzZhN2M5MmQ1NzMifQ=="/>
  </w:docVars>
  <w:rsids>
    <w:rsidRoot w:val="00101D16"/>
    <w:rsid w:val="000331F7"/>
    <w:rsid w:val="00056047"/>
    <w:rsid w:val="000679CC"/>
    <w:rsid w:val="000963D6"/>
    <w:rsid w:val="00101D16"/>
    <w:rsid w:val="00217A36"/>
    <w:rsid w:val="00236504"/>
    <w:rsid w:val="00287AA2"/>
    <w:rsid w:val="003367AE"/>
    <w:rsid w:val="00492B24"/>
    <w:rsid w:val="004D4C2F"/>
    <w:rsid w:val="005A5FE7"/>
    <w:rsid w:val="005C269A"/>
    <w:rsid w:val="006E054D"/>
    <w:rsid w:val="007E4CA5"/>
    <w:rsid w:val="0080170A"/>
    <w:rsid w:val="00863D16"/>
    <w:rsid w:val="009C1EB5"/>
    <w:rsid w:val="00B21895"/>
    <w:rsid w:val="00B475D5"/>
    <w:rsid w:val="00C5344B"/>
    <w:rsid w:val="00C80969"/>
    <w:rsid w:val="00CE6534"/>
    <w:rsid w:val="00E04A45"/>
    <w:rsid w:val="00F46CFC"/>
    <w:rsid w:val="018749DF"/>
    <w:rsid w:val="01AD69CA"/>
    <w:rsid w:val="02F71CD9"/>
    <w:rsid w:val="04F12E57"/>
    <w:rsid w:val="05F40D4D"/>
    <w:rsid w:val="08053EFD"/>
    <w:rsid w:val="0887642A"/>
    <w:rsid w:val="09817DC9"/>
    <w:rsid w:val="098915A2"/>
    <w:rsid w:val="0A2A7C4B"/>
    <w:rsid w:val="0F8971C2"/>
    <w:rsid w:val="0FEA6536"/>
    <w:rsid w:val="142F21E3"/>
    <w:rsid w:val="15583CB7"/>
    <w:rsid w:val="15FB249C"/>
    <w:rsid w:val="167069E6"/>
    <w:rsid w:val="175C5A0C"/>
    <w:rsid w:val="178E7A6B"/>
    <w:rsid w:val="18100480"/>
    <w:rsid w:val="183F24B3"/>
    <w:rsid w:val="19D46FDD"/>
    <w:rsid w:val="1B380A98"/>
    <w:rsid w:val="1B9B4F2E"/>
    <w:rsid w:val="1D2247B2"/>
    <w:rsid w:val="1D42186E"/>
    <w:rsid w:val="1F0C1276"/>
    <w:rsid w:val="1F971487"/>
    <w:rsid w:val="203A5060"/>
    <w:rsid w:val="20B27870"/>
    <w:rsid w:val="21EA2612"/>
    <w:rsid w:val="22A06BCD"/>
    <w:rsid w:val="23781AE2"/>
    <w:rsid w:val="237F2DE1"/>
    <w:rsid w:val="23E62CE1"/>
    <w:rsid w:val="24066BDB"/>
    <w:rsid w:val="24071A0E"/>
    <w:rsid w:val="24B26586"/>
    <w:rsid w:val="24E72569"/>
    <w:rsid w:val="257A4896"/>
    <w:rsid w:val="25897EB3"/>
    <w:rsid w:val="25DD1548"/>
    <w:rsid w:val="26DB4BD9"/>
    <w:rsid w:val="272A4177"/>
    <w:rsid w:val="273909ED"/>
    <w:rsid w:val="28566B3A"/>
    <w:rsid w:val="2BAC62BA"/>
    <w:rsid w:val="2CD60444"/>
    <w:rsid w:val="2D692851"/>
    <w:rsid w:val="2D831142"/>
    <w:rsid w:val="2DC14BCE"/>
    <w:rsid w:val="2E04418C"/>
    <w:rsid w:val="2E6D262D"/>
    <w:rsid w:val="2FA4415B"/>
    <w:rsid w:val="329D070B"/>
    <w:rsid w:val="33AE57ED"/>
    <w:rsid w:val="33E53D73"/>
    <w:rsid w:val="3495317E"/>
    <w:rsid w:val="3624775F"/>
    <w:rsid w:val="378A3FBF"/>
    <w:rsid w:val="39F96EC0"/>
    <w:rsid w:val="3A7A4746"/>
    <w:rsid w:val="3A863748"/>
    <w:rsid w:val="3AEE41FA"/>
    <w:rsid w:val="3D8041E8"/>
    <w:rsid w:val="3DE90AA0"/>
    <w:rsid w:val="3EFB3BE7"/>
    <w:rsid w:val="3F1C74C1"/>
    <w:rsid w:val="3FF878C8"/>
    <w:rsid w:val="40261EC9"/>
    <w:rsid w:val="40703903"/>
    <w:rsid w:val="408D6263"/>
    <w:rsid w:val="41B5779B"/>
    <w:rsid w:val="432602A9"/>
    <w:rsid w:val="48593EDE"/>
    <w:rsid w:val="4A247E5F"/>
    <w:rsid w:val="4B663938"/>
    <w:rsid w:val="4C26756B"/>
    <w:rsid w:val="4C8C53D6"/>
    <w:rsid w:val="4D3F5C20"/>
    <w:rsid w:val="4DC94652"/>
    <w:rsid w:val="4FC450D1"/>
    <w:rsid w:val="500A7372"/>
    <w:rsid w:val="50CF304A"/>
    <w:rsid w:val="535142E5"/>
    <w:rsid w:val="54EB0996"/>
    <w:rsid w:val="55A25EB5"/>
    <w:rsid w:val="56E45705"/>
    <w:rsid w:val="583F287B"/>
    <w:rsid w:val="58B47981"/>
    <w:rsid w:val="59B368E2"/>
    <w:rsid w:val="59E545C2"/>
    <w:rsid w:val="5A8414CB"/>
    <w:rsid w:val="5ABF3065"/>
    <w:rsid w:val="5B294982"/>
    <w:rsid w:val="5CAC13C7"/>
    <w:rsid w:val="5E56783C"/>
    <w:rsid w:val="5F267F00"/>
    <w:rsid w:val="5F4B25C8"/>
    <w:rsid w:val="5FDF54A3"/>
    <w:rsid w:val="605F7FF4"/>
    <w:rsid w:val="64095351"/>
    <w:rsid w:val="6651700F"/>
    <w:rsid w:val="6B0446E3"/>
    <w:rsid w:val="6BDA25F3"/>
    <w:rsid w:val="6CA0274B"/>
    <w:rsid w:val="6CC50C68"/>
    <w:rsid w:val="71D945B4"/>
    <w:rsid w:val="73F531FC"/>
    <w:rsid w:val="73FE48BB"/>
    <w:rsid w:val="74C27582"/>
    <w:rsid w:val="78686692"/>
    <w:rsid w:val="78CE1BBC"/>
    <w:rsid w:val="7A0125B8"/>
    <w:rsid w:val="7C0A1496"/>
    <w:rsid w:val="7D26650B"/>
    <w:rsid w:val="7D290A2B"/>
    <w:rsid w:val="7E10135E"/>
    <w:rsid w:val="7E21356B"/>
    <w:rsid w:val="7E5E656D"/>
    <w:rsid w:val="7F3364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autoRedefine/>
    <w:unhideWhenUsed/>
    <w:qFormat/>
    <w:uiPriority w:val="0"/>
    <w:rPr>
      <w:rFonts w:hint="eastAsia" w:ascii="仿宋_GB2312" w:eastAsia="仿宋_GB2312"/>
      <w:sz w:val="32"/>
      <w:szCs w:val="32"/>
    </w:rPr>
  </w:style>
  <w:style w:type="paragraph" w:styleId="3">
    <w:name w:val="toc 5"/>
    <w:basedOn w:val="1"/>
    <w:next w:val="1"/>
    <w:autoRedefine/>
    <w:unhideWhenUsed/>
    <w:qFormat/>
    <w:uiPriority w:val="0"/>
    <w:pPr>
      <w:ind w:left="1680" w:leftChars="800"/>
    </w:pPr>
    <w:rPr>
      <w:rFonts w:hint="eastAsia"/>
      <w:sz w:val="32"/>
      <w:szCs w:val="32"/>
    </w:rPr>
  </w:style>
  <w:style w:type="paragraph" w:styleId="4">
    <w:name w:val="footer"/>
    <w:basedOn w:val="1"/>
    <w:link w:val="13"/>
    <w:autoRedefine/>
    <w:qFormat/>
    <w:uiPriority w:val="0"/>
    <w:pPr>
      <w:tabs>
        <w:tab w:val="center" w:pos="4153"/>
        <w:tab w:val="right" w:pos="8306"/>
      </w:tabs>
      <w:snapToGrid w:val="0"/>
      <w:jc w:val="left"/>
    </w:pPr>
    <w:rPr>
      <w:sz w:val="18"/>
      <w:szCs w:val="18"/>
    </w:rPr>
  </w:style>
  <w:style w:type="paragraph" w:styleId="5">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qFormat/>
    <w:uiPriority w:val="99"/>
    <w:pPr>
      <w:widowControl/>
      <w:jc w:val="left"/>
    </w:pPr>
    <w:rPr>
      <w:rFonts w:ascii="宋体" w:hAnsi="宋体" w:eastAsia="宋体" w:cs="宋体"/>
      <w:kern w:val="0"/>
      <w:sz w:val="24"/>
      <w:szCs w:val="24"/>
    </w:rPr>
  </w:style>
  <w:style w:type="table" w:styleId="8">
    <w:name w:val="Table Grid"/>
    <w:basedOn w:val="7"/>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0">
    <w:name w:val="列出段落1"/>
    <w:basedOn w:val="1"/>
    <w:autoRedefine/>
    <w:qFormat/>
    <w:uiPriority w:val="34"/>
    <w:pPr>
      <w:ind w:firstLine="420" w:firstLineChars="200"/>
    </w:pPr>
  </w:style>
  <w:style w:type="paragraph" w:styleId="11">
    <w:name w:val="List Paragraph"/>
    <w:basedOn w:val="1"/>
    <w:autoRedefine/>
    <w:qFormat/>
    <w:uiPriority w:val="99"/>
    <w:pPr>
      <w:ind w:firstLine="420" w:firstLineChars="200"/>
    </w:pPr>
  </w:style>
  <w:style w:type="character" w:customStyle="1" w:styleId="12">
    <w:name w:val="页眉 Char"/>
    <w:basedOn w:val="9"/>
    <w:link w:val="5"/>
    <w:autoRedefine/>
    <w:qFormat/>
    <w:uiPriority w:val="0"/>
    <w:rPr>
      <w:rFonts w:asciiTheme="minorHAnsi" w:hAnsiTheme="minorHAnsi" w:eastAsiaTheme="minorEastAsia" w:cstheme="minorBidi"/>
      <w:kern w:val="2"/>
      <w:sz w:val="18"/>
      <w:szCs w:val="18"/>
    </w:rPr>
  </w:style>
  <w:style w:type="character" w:customStyle="1" w:styleId="13">
    <w:name w:val="页脚 Char"/>
    <w:basedOn w:val="9"/>
    <w:link w:val="4"/>
    <w:autoRedefine/>
    <w:qFormat/>
    <w:uiPriority w:val="0"/>
    <w:rPr>
      <w:rFonts w:asciiTheme="minorHAnsi" w:hAnsiTheme="minorHAnsi" w:eastAsiaTheme="minorEastAsia" w:cstheme="minorBidi"/>
      <w:kern w:val="2"/>
      <w:sz w:val="18"/>
      <w:szCs w:val="18"/>
    </w:rPr>
  </w:style>
  <w:style w:type="paragraph" w:customStyle="1" w:styleId="14">
    <w:name w:val="p"/>
    <w:basedOn w:val="1"/>
    <w:autoRedefine/>
    <w:qFormat/>
    <w:uiPriority w:val="0"/>
    <w:pPr>
      <w:widowControl/>
      <w:jc w:val="left"/>
    </w:pPr>
    <w:rPr>
      <w:rFonts w:ascii="宋体" w:hAnsi="宋体" w:eastAsia="宋体" w:cs="宋体"/>
      <w:kern w:val="0"/>
      <w:sz w:val="24"/>
      <w:szCs w:val="24"/>
    </w:rPr>
  </w:style>
  <w:style w:type="paragraph" w:customStyle="1" w:styleId="15">
    <w:name w:val="UserStyle_0"/>
    <w:basedOn w:val="1"/>
    <w:autoRedefine/>
    <w:qFormat/>
    <w:uiPriority w:val="0"/>
    <w:pPr>
      <w:ind w:left="840" w:hanging="420"/>
      <w:textAlignment w:val="baseline"/>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6283</Words>
  <Characters>6364</Characters>
  <Lines>28</Lines>
  <Paragraphs>7</Paragraphs>
  <TotalTime>0</TotalTime>
  <ScaleCrop>false</ScaleCrop>
  <LinksUpToDate>false</LinksUpToDate>
  <CharactersWithSpaces>6492</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2023-04-10T05:12:00Z</dcterms:created>
  <dc:creator>白英龙</dc:creator>
  <cp:lastModifiedBy>rain</cp:lastModifiedBy>
  <cp:lastPrinted>2024-04-21T23:51:00Z</cp:lastPrinted>
  <dcterms:modified xsi:type="dcterms:W3CDTF">2024-05-14T05:31:04Z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F56C3BB2E5FC42ACB36780541ACC3129_13</vt:lpwstr>
  </property>
</Properties>
</file>